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9B55A" w14:textId="57693DDC" w:rsidR="008005C3" w:rsidRDefault="00A25439" w:rsidP="002D062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>In</w:t>
      </w:r>
      <w:r>
        <w:rPr>
          <w:spacing w:val="-7"/>
        </w:rPr>
        <w:t xml:space="preserve"> </w:t>
      </w:r>
      <w:r>
        <w:rPr>
          <w:spacing w:val="-3"/>
        </w:rPr>
        <w:t>late</w:t>
      </w:r>
      <w:r>
        <w:rPr>
          <w:spacing w:val="-11"/>
        </w:rPr>
        <w:t xml:space="preserve"> </w:t>
      </w:r>
      <w:r>
        <w:rPr>
          <w:spacing w:val="-3"/>
        </w:rPr>
        <w:t>2017,</w:t>
      </w:r>
      <w:r>
        <w:rPr>
          <w:spacing w:val="-9"/>
        </w:rPr>
        <w:t xml:space="preserve"> </w:t>
      </w:r>
      <w:r>
        <w:rPr>
          <w:spacing w:val="-4"/>
        </w:rPr>
        <w:t>Queensland</w:t>
      </w:r>
      <w:r>
        <w:rPr>
          <w:spacing w:val="-10"/>
        </w:rPr>
        <w:t xml:space="preserve"> </w:t>
      </w:r>
      <w:r>
        <w:rPr>
          <w:spacing w:val="-4"/>
        </w:rPr>
        <w:t>Treasury</w:t>
      </w:r>
      <w:r>
        <w:rPr>
          <w:spacing w:val="-10"/>
        </w:rPr>
        <w:t xml:space="preserve"> </w:t>
      </w:r>
      <w:r>
        <w:rPr>
          <w:spacing w:val="-4"/>
        </w:rPr>
        <w:t>Corporation</w:t>
      </w:r>
      <w:r>
        <w:rPr>
          <w:spacing w:val="-10"/>
        </w:rPr>
        <w:t xml:space="preserve"> </w:t>
      </w:r>
      <w:r>
        <w:rPr>
          <w:spacing w:val="-3"/>
        </w:rPr>
        <w:t>(QTC)</w:t>
      </w:r>
      <w:r>
        <w:rPr>
          <w:spacing w:val="-6"/>
        </w:rPr>
        <w:t xml:space="preserve"> </w:t>
      </w:r>
      <w:r>
        <w:rPr>
          <w:spacing w:val="-3"/>
        </w:rPr>
        <w:t>was</w:t>
      </w:r>
      <w:r>
        <w:rPr>
          <w:spacing w:val="-7"/>
        </w:rPr>
        <w:t xml:space="preserve"> </w:t>
      </w:r>
      <w:r>
        <w:rPr>
          <w:spacing w:val="-4"/>
        </w:rPr>
        <w:t>engaged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undertake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review</w:t>
      </w:r>
      <w:r>
        <w:rPr>
          <w:spacing w:val="-8"/>
        </w:rPr>
        <w:t xml:space="preserve"> </w:t>
      </w:r>
      <w:r>
        <w:rPr>
          <w:spacing w:val="-6"/>
        </w:rPr>
        <w:t xml:space="preserve">of </w:t>
      </w:r>
      <w:r>
        <w:t xml:space="preserve">the </w:t>
      </w:r>
      <w:r>
        <w:rPr>
          <w:spacing w:val="-3"/>
        </w:rPr>
        <w:t xml:space="preserve">local </w:t>
      </w:r>
      <w:r>
        <w:rPr>
          <w:spacing w:val="-4"/>
        </w:rPr>
        <w:t xml:space="preserve">government waste management provisions </w:t>
      </w:r>
      <w:r>
        <w:t xml:space="preserve">in </w:t>
      </w:r>
      <w:r>
        <w:rPr>
          <w:spacing w:val="-4"/>
        </w:rPr>
        <w:t xml:space="preserve">part </w:t>
      </w:r>
      <w:r w:rsidR="000B6C46">
        <w:rPr>
          <w:spacing w:val="-3"/>
        </w:rPr>
        <w:t>2A</w:t>
      </w:r>
      <w:r w:rsidR="000B6C46" w:rsidRPr="000B6C46">
        <w:rPr>
          <w:spacing w:val="-3"/>
        </w:rPr>
        <w:t xml:space="preserve"> </w:t>
      </w:r>
      <w:r w:rsidR="000B6C46">
        <w:rPr>
          <w:spacing w:val="-3"/>
        </w:rPr>
        <w:t xml:space="preserve">of the </w:t>
      </w:r>
      <w:r w:rsidR="000B6C46" w:rsidRPr="003A6477">
        <w:t>Waste Reduction and Recycling Regulation 2011</w:t>
      </w:r>
      <w:r w:rsidR="000B6C46"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and </w:t>
      </w:r>
      <w:r>
        <w:rPr>
          <w:spacing w:val="-4"/>
        </w:rPr>
        <w:t xml:space="preserve">chapter </w:t>
      </w:r>
      <w:r w:rsidR="000B6C46">
        <w:rPr>
          <w:spacing w:val="-3"/>
        </w:rPr>
        <w:t>5A</w:t>
      </w:r>
      <w:r>
        <w:rPr>
          <w:spacing w:val="-3"/>
        </w:rPr>
        <w:t xml:space="preserve"> of the </w:t>
      </w:r>
      <w:r>
        <w:t>E</w:t>
      </w:r>
      <w:r w:rsidR="00CF5429">
        <w:t xml:space="preserve">nvironmental </w:t>
      </w:r>
      <w:r>
        <w:t>P</w:t>
      </w:r>
      <w:r w:rsidR="00B84910">
        <w:t>rotection</w:t>
      </w:r>
      <w:r>
        <w:t xml:space="preserve"> </w:t>
      </w:r>
      <w:r>
        <w:rPr>
          <w:spacing w:val="-4"/>
        </w:rPr>
        <w:t xml:space="preserve">Regulation </w:t>
      </w:r>
      <w:r w:rsidR="00B84910">
        <w:rPr>
          <w:spacing w:val="-4"/>
        </w:rPr>
        <w:t>2008</w:t>
      </w:r>
      <w:r w:rsidR="000B6C46">
        <w:rPr>
          <w:spacing w:val="-4"/>
        </w:rPr>
        <w:t>,</w:t>
      </w:r>
      <w:r w:rsidR="00B84910">
        <w:rPr>
          <w:spacing w:val="-4"/>
        </w:rPr>
        <w:t xml:space="preserve"> </w:t>
      </w:r>
      <w:r>
        <w:rPr>
          <w:spacing w:val="-3"/>
        </w:rPr>
        <w:t xml:space="preserve">and </w:t>
      </w:r>
      <w:r>
        <w:rPr>
          <w:spacing w:val="-4"/>
        </w:rPr>
        <w:t xml:space="preserve">consider </w:t>
      </w:r>
      <w:r>
        <w:t xml:space="preserve">a </w:t>
      </w:r>
      <w:r>
        <w:rPr>
          <w:spacing w:val="-4"/>
        </w:rPr>
        <w:t xml:space="preserve">number </w:t>
      </w:r>
      <w:r>
        <w:rPr>
          <w:spacing w:val="-3"/>
        </w:rPr>
        <w:t xml:space="preserve">of options for </w:t>
      </w:r>
      <w:r>
        <w:rPr>
          <w:spacing w:val="-4"/>
        </w:rPr>
        <w:t>addressing issues</w:t>
      </w:r>
      <w:r>
        <w:rPr>
          <w:spacing w:val="53"/>
        </w:rPr>
        <w:t xml:space="preserve"> </w:t>
      </w:r>
      <w:r>
        <w:rPr>
          <w:spacing w:val="-3"/>
        </w:rPr>
        <w:t xml:space="preserve">raised </w:t>
      </w:r>
      <w:r>
        <w:t>by</w:t>
      </w:r>
      <w:r>
        <w:rPr>
          <w:spacing w:val="-10"/>
        </w:rPr>
        <w:t xml:space="preserve"> </w:t>
      </w:r>
      <w:r>
        <w:rPr>
          <w:spacing w:val="-4"/>
        </w:rPr>
        <w:t>stakeholders.</w:t>
      </w:r>
    </w:p>
    <w:p w14:paraId="2709B55C" w14:textId="77777777" w:rsidR="008005C3" w:rsidRDefault="00A25439" w:rsidP="002D062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QTC </w:t>
      </w:r>
      <w:r>
        <w:rPr>
          <w:spacing w:val="-3"/>
        </w:rPr>
        <w:t xml:space="preserve">was </w:t>
      </w:r>
      <w:r>
        <w:rPr>
          <w:spacing w:val="-4"/>
        </w:rPr>
        <w:t xml:space="preserve">engaged </w:t>
      </w:r>
      <w:r>
        <w:t xml:space="preserve">to </w:t>
      </w:r>
      <w:r>
        <w:rPr>
          <w:spacing w:val="-4"/>
        </w:rPr>
        <w:t xml:space="preserve">investigate </w:t>
      </w:r>
      <w:r>
        <w:rPr>
          <w:spacing w:val="-3"/>
        </w:rPr>
        <w:t xml:space="preserve">the </w:t>
      </w:r>
      <w:r>
        <w:rPr>
          <w:spacing w:val="-4"/>
        </w:rPr>
        <w:t xml:space="preserve">potential impacts </w:t>
      </w:r>
      <w:r>
        <w:rPr>
          <w:spacing w:val="-3"/>
        </w:rPr>
        <w:t xml:space="preserve">for local </w:t>
      </w:r>
      <w:r>
        <w:rPr>
          <w:spacing w:val="-4"/>
        </w:rPr>
        <w:t xml:space="preserve">governments </w:t>
      </w:r>
      <w:r>
        <w:t xml:space="preserve">as </w:t>
      </w:r>
      <w:r>
        <w:rPr>
          <w:spacing w:val="-3"/>
        </w:rPr>
        <w:t xml:space="preserve">these </w:t>
      </w:r>
      <w:r>
        <w:rPr>
          <w:spacing w:val="-4"/>
        </w:rPr>
        <w:t xml:space="preserve">regulations </w:t>
      </w:r>
      <w:r>
        <w:rPr>
          <w:spacing w:val="-3"/>
        </w:rPr>
        <w:t xml:space="preserve">were due </w:t>
      </w:r>
      <w:r>
        <w:t xml:space="preserve">to </w:t>
      </w:r>
      <w:r>
        <w:rPr>
          <w:spacing w:val="-3"/>
        </w:rPr>
        <w:t xml:space="preserve">expire at </w:t>
      </w:r>
      <w:r>
        <w:t xml:space="preserve">the </w:t>
      </w:r>
      <w:r>
        <w:rPr>
          <w:spacing w:val="-3"/>
        </w:rPr>
        <w:t xml:space="preserve">time. QTC also </w:t>
      </w:r>
      <w:r>
        <w:rPr>
          <w:spacing w:val="-4"/>
        </w:rPr>
        <w:t xml:space="preserve">investigated whether </w:t>
      </w:r>
      <w:r>
        <w:rPr>
          <w:spacing w:val="-3"/>
        </w:rPr>
        <w:t xml:space="preserve">the </w:t>
      </w:r>
      <w:r>
        <w:rPr>
          <w:spacing w:val="-4"/>
        </w:rPr>
        <w:t xml:space="preserve">existing application </w:t>
      </w:r>
      <w:r>
        <w:rPr>
          <w:spacing w:val="-3"/>
        </w:rPr>
        <w:t xml:space="preserve">of these </w:t>
      </w:r>
      <w:r>
        <w:rPr>
          <w:spacing w:val="-4"/>
        </w:rPr>
        <w:t xml:space="preserve">provisions prevented competition </w:t>
      </w:r>
      <w:r>
        <w:rPr>
          <w:spacing w:val="-3"/>
        </w:rPr>
        <w:t xml:space="preserve">in the </w:t>
      </w:r>
      <w:r>
        <w:rPr>
          <w:spacing w:val="-4"/>
        </w:rPr>
        <w:t xml:space="preserve">waste industry. </w:t>
      </w:r>
      <w:r>
        <w:t xml:space="preserve">QTC </w:t>
      </w:r>
      <w:r>
        <w:rPr>
          <w:spacing w:val="-4"/>
        </w:rPr>
        <w:t xml:space="preserve">finalised </w:t>
      </w:r>
      <w:r>
        <w:rPr>
          <w:spacing w:val="-3"/>
        </w:rPr>
        <w:t xml:space="preserve">their </w:t>
      </w:r>
      <w:r>
        <w:rPr>
          <w:spacing w:val="-4"/>
        </w:rPr>
        <w:t xml:space="preserve">report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5"/>
        </w:rPr>
        <w:t>mid-2018.</w:t>
      </w:r>
    </w:p>
    <w:p w14:paraId="2709B55E" w14:textId="331842FA" w:rsidR="008005C3" w:rsidRDefault="00A25439" w:rsidP="002D062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>The</w:t>
      </w:r>
      <w:r>
        <w:rPr>
          <w:spacing w:val="-7"/>
        </w:rPr>
        <w:t xml:space="preserve"> </w:t>
      </w:r>
      <w:r>
        <w:t>QTC</w:t>
      </w:r>
      <w:r>
        <w:rPr>
          <w:spacing w:val="-9"/>
        </w:rPr>
        <w:t xml:space="preserve"> </w:t>
      </w:r>
      <w:r w:rsidR="00C227E3">
        <w:rPr>
          <w:spacing w:val="-4"/>
        </w:rPr>
        <w:t>R</w:t>
      </w:r>
      <w:r>
        <w:rPr>
          <w:spacing w:val="-4"/>
        </w:rPr>
        <w:t>eport</w:t>
      </w:r>
      <w:r>
        <w:rPr>
          <w:spacing w:val="-2"/>
        </w:rPr>
        <w:t xml:space="preserve"> </w:t>
      </w:r>
      <w:r w:rsidR="00C227E3">
        <w:rPr>
          <w:spacing w:val="-2"/>
        </w:rPr>
        <w:t xml:space="preserve">into </w:t>
      </w:r>
      <w:r w:rsidR="00090F3E">
        <w:rPr>
          <w:spacing w:val="-2"/>
        </w:rPr>
        <w:t xml:space="preserve">Local Government Waste Management Provisions (the report) </w:t>
      </w:r>
      <w:r>
        <w:rPr>
          <w:spacing w:val="-4"/>
        </w:rPr>
        <w:t>informed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decision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remove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expiry</w:t>
      </w:r>
      <w:r>
        <w:rPr>
          <w:spacing w:val="-7"/>
        </w:rPr>
        <w:t xml:space="preserve"> </w:t>
      </w:r>
      <w:r>
        <w:rPr>
          <w:spacing w:val="-3"/>
        </w:rPr>
        <w:t>date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3"/>
        </w:rPr>
        <w:t>these</w:t>
      </w:r>
      <w:r>
        <w:rPr>
          <w:spacing w:val="-7"/>
        </w:rPr>
        <w:t xml:space="preserve"> </w:t>
      </w:r>
      <w:r>
        <w:rPr>
          <w:spacing w:val="-4"/>
        </w:rPr>
        <w:t xml:space="preserve">provisions </w:t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 xml:space="preserve">order </w:t>
      </w:r>
      <w:r>
        <w:rPr>
          <w:spacing w:val="-3"/>
        </w:rPr>
        <w:t xml:space="preserve">for </w:t>
      </w:r>
      <w:r>
        <w:rPr>
          <w:spacing w:val="-4"/>
        </w:rPr>
        <w:t xml:space="preserve">policy certainty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provided </w:t>
      </w:r>
      <w:r>
        <w:t xml:space="preserve">to </w:t>
      </w:r>
      <w:r w:rsidR="000B6C46">
        <w:rPr>
          <w:spacing w:val="-4"/>
        </w:rPr>
        <w:t>c</w:t>
      </w:r>
      <w:r>
        <w:rPr>
          <w:spacing w:val="-4"/>
        </w:rPr>
        <w:t xml:space="preserve">ouncils and </w:t>
      </w:r>
      <w:r>
        <w:t xml:space="preserve">to </w:t>
      </w:r>
      <w:r>
        <w:rPr>
          <w:spacing w:val="-4"/>
        </w:rPr>
        <w:t xml:space="preserve">enable identification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long </w:t>
      </w:r>
      <w:r>
        <w:rPr>
          <w:spacing w:val="-3"/>
        </w:rPr>
        <w:t xml:space="preserve">term </w:t>
      </w:r>
      <w:r>
        <w:rPr>
          <w:spacing w:val="-4"/>
        </w:rPr>
        <w:t xml:space="preserve">resolution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issue’s </w:t>
      </w:r>
      <w:r>
        <w:rPr>
          <w:spacing w:val="-3"/>
        </w:rPr>
        <w:t xml:space="preserve">raised </w:t>
      </w:r>
      <w:r>
        <w:t>by</w:t>
      </w:r>
      <w:r>
        <w:rPr>
          <w:spacing w:val="-32"/>
        </w:rPr>
        <w:t xml:space="preserve"> </w:t>
      </w:r>
      <w:r>
        <w:rPr>
          <w:spacing w:val="-4"/>
        </w:rPr>
        <w:t>stakeholders.</w:t>
      </w:r>
    </w:p>
    <w:p w14:paraId="2709B560" w14:textId="7764FB7C" w:rsidR="008005C3" w:rsidRDefault="00A25439" w:rsidP="002D062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spacing w:val="-4"/>
        </w:rPr>
        <w:t xml:space="preserve">report highlighted several options </w:t>
      </w:r>
      <w:r>
        <w:t xml:space="preserve">for </w:t>
      </w:r>
      <w:r>
        <w:rPr>
          <w:spacing w:val="-4"/>
        </w:rPr>
        <w:t xml:space="preserve">consideration. </w:t>
      </w:r>
      <w:r>
        <w:t xml:space="preserve">A </w:t>
      </w:r>
      <w:r>
        <w:rPr>
          <w:spacing w:val="-4"/>
        </w:rPr>
        <w:t xml:space="preserve">consultation Regulatory </w:t>
      </w:r>
      <w:r>
        <w:rPr>
          <w:spacing w:val="-3"/>
        </w:rPr>
        <w:t xml:space="preserve">Impact </w:t>
      </w:r>
      <w:r>
        <w:rPr>
          <w:spacing w:val="-4"/>
        </w:rPr>
        <w:t xml:space="preserve">Statement </w:t>
      </w:r>
      <w:r>
        <w:rPr>
          <w:spacing w:val="-3"/>
        </w:rPr>
        <w:t xml:space="preserve">has been </w:t>
      </w:r>
      <w:r>
        <w:rPr>
          <w:spacing w:val="-4"/>
        </w:rPr>
        <w:t xml:space="preserve">prepared </w:t>
      </w:r>
      <w:r>
        <w:t xml:space="preserve">to </w:t>
      </w:r>
      <w:r>
        <w:rPr>
          <w:spacing w:val="-4"/>
        </w:rPr>
        <w:t xml:space="preserve">assess </w:t>
      </w:r>
      <w:r w:rsidR="000B6C46">
        <w:rPr>
          <w:spacing w:val="-3"/>
        </w:rPr>
        <w:t>two</w:t>
      </w:r>
      <w:r>
        <w:rPr>
          <w:spacing w:val="-3"/>
        </w:rPr>
        <w:t xml:space="preserve"> </w:t>
      </w:r>
      <w:r>
        <w:rPr>
          <w:spacing w:val="-4"/>
        </w:rPr>
        <w:t>proposed</w:t>
      </w:r>
      <w:r>
        <w:rPr>
          <w:spacing w:val="-29"/>
        </w:rPr>
        <w:t xml:space="preserve"> </w:t>
      </w:r>
      <w:r>
        <w:rPr>
          <w:spacing w:val="-4"/>
        </w:rPr>
        <w:t>options.</w:t>
      </w:r>
    </w:p>
    <w:p w14:paraId="2709B562" w14:textId="65496999" w:rsidR="008005C3" w:rsidRDefault="00A25439" w:rsidP="002D062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u w:val="single"/>
        </w:rPr>
        <w:t xml:space="preserve">Cabinet </w:t>
      </w:r>
      <w:r w:rsidR="003B77B3">
        <w:rPr>
          <w:u w:val="single"/>
        </w:rPr>
        <w:t>approved</w:t>
      </w:r>
      <w:r w:rsidR="003B77B3">
        <w:t xml:space="preserve"> </w:t>
      </w:r>
      <w:r>
        <w:t xml:space="preserve">the </w:t>
      </w:r>
      <w:r>
        <w:rPr>
          <w:spacing w:val="-3"/>
        </w:rPr>
        <w:t xml:space="preserve">release of the </w:t>
      </w:r>
      <w:r>
        <w:rPr>
          <w:spacing w:val="-4"/>
        </w:rPr>
        <w:t xml:space="preserve">consultation regulatory impact statement </w:t>
      </w:r>
      <w:r>
        <w:rPr>
          <w:spacing w:val="-3"/>
        </w:rPr>
        <w:t xml:space="preserve">for </w:t>
      </w:r>
      <w:r>
        <w:rPr>
          <w:spacing w:val="-4"/>
        </w:rPr>
        <w:t xml:space="preserve">reforms </w:t>
      </w:r>
      <w:r>
        <w:t xml:space="preserve">to the </w:t>
      </w:r>
      <w:r>
        <w:rPr>
          <w:spacing w:val="-4"/>
        </w:rPr>
        <w:t xml:space="preserve">local government </w:t>
      </w:r>
      <w:r>
        <w:rPr>
          <w:spacing w:val="-3"/>
        </w:rPr>
        <w:t xml:space="preserve">waste </w:t>
      </w:r>
      <w:r>
        <w:rPr>
          <w:spacing w:val="-4"/>
        </w:rPr>
        <w:t>management regulatory</w:t>
      </w:r>
      <w:r>
        <w:rPr>
          <w:spacing w:val="-29"/>
        </w:rPr>
        <w:t xml:space="preserve"> </w:t>
      </w:r>
      <w:r>
        <w:rPr>
          <w:spacing w:val="-3"/>
        </w:rPr>
        <w:t>framework.</w:t>
      </w:r>
    </w:p>
    <w:p w14:paraId="2709B564" w14:textId="59444095" w:rsidR="008005C3" w:rsidRDefault="00A25439" w:rsidP="002D062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u w:val="single"/>
        </w:rPr>
        <w:t>Cabinet</w:t>
      </w:r>
      <w:r>
        <w:rPr>
          <w:spacing w:val="-2"/>
          <w:u w:val="single"/>
        </w:rPr>
        <w:t xml:space="preserve"> </w:t>
      </w:r>
      <w:r w:rsidR="00031AE9">
        <w:rPr>
          <w:u w:val="single"/>
        </w:rPr>
        <w:t>approved</w:t>
      </w:r>
      <w:r w:rsidR="00031AE9"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release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t>Q</w:t>
      </w:r>
      <w:r w:rsidR="00031AE9">
        <w:t xml:space="preserve">ueensland </w:t>
      </w:r>
      <w:r>
        <w:t>T</w:t>
      </w:r>
      <w:r w:rsidR="00031AE9">
        <w:t xml:space="preserve">reasury </w:t>
      </w:r>
      <w:r>
        <w:t>C</w:t>
      </w:r>
      <w:r w:rsidR="00031AE9">
        <w:t>orporation</w:t>
      </w:r>
      <w:r>
        <w:rPr>
          <w:spacing w:val="-11"/>
        </w:rPr>
        <w:t xml:space="preserve"> </w:t>
      </w:r>
      <w:r>
        <w:rPr>
          <w:spacing w:val="-4"/>
        </w:rPr>
        <w:t>Report</w:t>
      </w:r>
      <w:r>
        <w:rPr>
          <w:spacing w:val="-8"/>
        </w:rPr>
        <w:t xml:space="preserve"> </w:t>
      </w:r>
      <w:r>
        <w:rPr>
          <w:spacing w:val="-3"/>
        </w:rP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Review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Local</w:t>
      </w:r>
      <w:r>
        <w:rPr>
          <w:spacing w:val="-11"/>
        </w:rPr>
        <w:t xml:space="preserve"> </w:t>
      </w:r>
      <w:r>
        <w:rPr>
          <w:spacing w:val="-4"/>
        </w:rPr>
        <w:t>Government</w:t>
      </w:r>
      <w:r>
        <w:rPr>
          <w:spacing w:val="-13"/>
        </w:rPr>
        <w:t xml:space="preserve"> </w:t>
      </w:r>
      <w:r>
        <w:rPr>
          <w:spacing w:val="-3"/>
        </w:rPr>
        <w:t xml:space="preserve">Waste </w:t>
      </w:r>
      <w:r>
        <w:rPr>
          <w:spacing w:val="-4"/>
        </w:rPr>
        <w:t>Management</w:t>
      </w:r>
      <w:r>
        <w:rPr>
          <w:spacing w:val="-5"/>
        </w:rPr>
        <w:t xml:space="preserve"> </w:t>
      </w:r>
      <w:r>
        <w:rPr>
          <w:spacing w:val="-4"/>
        </w:rPr>
        <w:t>Provisions.</w:t>
      </w:r>
    </w:p>
    <w:p w14:paraId="2709B566" w14:textId="77777777" w:rsidR="008005C3" w:rsidRDefault="00A25439" w:rsidP="002D062A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>
        <w:rPr>
          <w:i/>
          <w:u w:val="single"/>
        </w:rPr>
        <w:t>Attachments</w:t>
      </w:r>
    </w:p>
    <w:p w14:paraId="2709B56A" w14:textId="17461F91" w:rsidR="008005C3" w:rsidRPr="003D0A5D" w:rsidRDefault="00711E19" w:rsidP="002D062A">
      <w:pPr>
        <w:pStyle w:val="ListParagraph"/>
        <w:numPr>
          <w:ilvl w:val="1"/>
          <w:numId w:val="1"/>
        </w:numPr>
        <w:tabs>
          <w:tab w:val="left" w:pos="426"/>
          <w:tab w:val="left" w:pos="1044"/>
          <w:tab w:val="left" w:pos="1045"/>
        </w:tabs>
        <w:spacing w:before="120" w:line="237" w:lineRule="auto"/>
        <w:ind w:left="852" w:right="3" w:hanging="426"/>
        <w:jc w:val="left"/>
      </w:pPr>
      <w:hyperlink r:id="rId10" w:history="1">
        <w:r w:rsidR="00A25439" w:rsidRPr="0045402F">
          <w:rPr>
            <w:rStyle w:val="Hyperlink"/>
            <w:spacing w:val="-3"/>
          </w:rPr>
          <w:t xml:space="preserve">Local </w:t>
        </w:r>
        <w:r w:rsidR="00A25439" w:rsidRPr="0045402F">
          <w:rPr>
            <w:rStyle w:val="Hyperlink"/>
            <w:spacing w:val="-4"/>
          </w:rPr>
          <w:t xml:space="preserve">Government </w:t>
        </w:r>
        <w:r w:rsidR="00A25439" w:rsidRPr="0045402F">
          <w:rPr>
            <w:rStyle w:val="Hyperlink"/>
            <w:spacing w:val="-3"/>
          </w:rPr>
          <w:t xml:space="preserve">Waste </w:t>
        </w:r>
        <w:r w:rsidR="00A25439" w:rsidRPr="0045402F">
          <w:rPr>
            <w:rStyle w:val="Hyperlink"/>
            <w:spacing w:val="-4"/>
          </w:rPr>
          <w:t>Management Reforms</w:t>
        </w:r>
        <w:r w:rsidR="00A25439" w:rsidRPr="0045402F">
          <w:rPr>
            <w:rStyle w:val="Hyperlink"/>
            <w:spacing w:val="53"/>
          </w:rPr>
          <w:t xml:space="preserve"> </w:t>
        </w:r>
        <w:r w:rsidR="00A25439" w:rsidRPr="0045402F">
          <w:rPr>
            <w:rStyle w:val="Hyperlink"/>
            <w:spacing w:val="-4"/>
          </w:rPr>
          <w:t>Consultation Regulatory Impact Statement</w:t>
        </w:r>
        <w:r w:rsidR="003D0A5D" w:rsidRPr="0045402F">
          <w:rPr>
            <w:rStyle w:val="Hyperlink"/>
            <w:spacing w:val="-4"/>
          </w:rPr>
          <w:t xml:space="preserve"> (</w:t>
        </w:r>
        <w:r w:rsidR="0045402F">
          <w:rPr>
            <w:rStyle w:val="Hyperlink"/>
            <w:spacing w:val="-4"/>
          </w:rPr>
          <w:t xml:space="preserve">see </w:t>
        </w:r>
        <w:r w:rsidR="003D0A5D" w:rsidRPr="0045402F">
          <w:rPr>
            <w:rStyle w:val="Hyperlink"/>
            <w:i/>
            <w:spacing w:val="-4"/>
          </w:rPr>
          <w:t>A</w:t>
        </w:r>
        <w:r w:rsidR="0045402F">
          <w:rPr>
            <w:rStyle w:val="Hyperlink"/>
            <w:i/>
            <w:spacing w:val="-4"/>
          </w:rPr>
          <w:t>p</w:t>
        </w:r>
        <w:r w:rsidR="003D0A5D" w:rsidRPr="0045402F">
          <w:rPr>
            <w:rStyle w:val="Hyperlink"/>
            <w:i/>
            <w:spacing w:val="-4"/>
          </w:rPr>
          <w:t xml:space="preserve">pendix 1 </w:t>
        </w:r>
        <w:r w:rsidR="0045402F">
          <w:rPr>
            <w:rStyle w:val="Hyperlink"/>
            <w:i/>
            <w:spacing w:val="-4"/>
          </w:rPr>
          <w:t xml:space="preserve">for </w:t>
        </w:r>
        <w:r w:rsidR="00A25439" w:rsidRPr="0045402F">
          <w:rPr>
            <w:rStyle w:val="Hyperlink"/>
            <w:i/>
            <w:spacing w:val="-4"/>
          </w:rPr>
          <w:t xml:space="preserve">Queensland Treasury Corporation Report into </w:t>
        </w:r>
        <w:r w:rsidR="00A25439" w:rsidRPr="0045402F">
          <w:rPr>
            <w:rStyle w:val="Hyperlink"/>
            <w:i/>
            <w:spacing w:val="-3"/>
          </w:rPr>
          <w:t xml:space="preserve">Local </w:t>
        </w:r>
        <w:r w:rsidR="00A25439" w:rsidRPr="0045402F">
          <w:rPr>
            <w:rStyle w:val="Hyperlink"/>
            <w:i/>
            <w:spacing w:val="-4"/>
          </w:rPr>
          <w:t xml:space="preserve">Government </w:t>
        </w:r>
        <w:r w:rsidR="00A25439" w:rsidRPr="0045402F">
          <w:rPr>
            <w:rStyle w:val="Hyperlink"/>
            <w:i/>
          </w:rPr>
          <w:t xml:space="preserve">Waste </w:t>
        </w:r>
        <w:r w:rsidR="00A25439" w:rsidRPr="0045402F">
          <w:rPr>
            <w:rStyle w:val="Hyperlink"/>
            <w:i/>
            <w:spacing w:val="-5"/>
          </w:rPr>
          <w:t xml:space="preserve">Management </w:t>
        </w:r>
        <w:r w:rsidR="00A25439" w:rsidRPr="0045402F">
          <w:rPr>
            <w:rStyle w:val="Hyperlink"/>
            <w:i/>
            <w:spacing w:val="-4"/>
          </w:rPr>
          <w:t xml:space="preserve">Provisions </w:t>
        </w:r>
        <w:r w:rsidR="00A25439" w:rsidRPr="0045402F">
          <w:rPr>
            <w:rStyle w:val="Hyperlink"/>
            <w:i/>
            <w:spacing w:val="-3"/>
          </w:rPr>
          <w:t>(June</w:t>
        </w:r>
        <w:r w:rsidR="00A25439" w:rsidRPr="0045402F">
          <w:rPr>
            <w:rStyle w:val="Hyperlink"/>
            <w:i/>
            <w:spacing w:val="-9"/>
          </w:rPr>
          <w:t xml:space="preserve"> </w:t>
        </w:r>
        <w:r w:rsidR="00A25439" w:rsidRPr="0045402F">
          <w:rPr>
            <w:rStyle w:val="Hyperlink"/>
            <w:i/>
            <w:spacing w:val="-4"/>
          </w:rPr>
          <w:t>2018</w:t>
        </w:r>
        <w:r w:rsidR="00A25439" w:rsidRPr="0045402F">
          <w:rPr>
            <w:rStyle w:val="Hyperlink"/>
            <w:spacing w:val="-4"/>
          </w:rPr>
          <w:t>)</w:t>
        </w:r>
        <w:r w:rsidR="003D0A5D" w:rsidRPr="0045402F">
          <w:rPr>
            <w:rStyle w:val="Hyperlink"/>
            <w:spacing w:val="-4"/>
          </w:rPr>
          <w:t>)</w:t>
        </w:r>
      </w:hyperlink>
    </w:p>
    <w:sectPr w:rsidR="008005C3" w:rsidRPr="003D0A5D" w:rsidSect="00B774D4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99A2E" w14:textId="77777777" w:rsidR="0045402F" w:rsidRDefault="0045402F" w:rsidP="00744FC6">
      <w:r>
        <w:separator/>
      </w:r>
    </w:p>
  </w:endnote>
  <w:endnote w:type="continuationSeparator" w:id="0">
    <w:p w14:paraId="639113A2" w14:textId="77777777" w:rsidR="0045402F" w:rsidRDefault="0045402F" w:rsidP="0074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FD417" w14:textId="77777777" w:rsidR="0045402F" w:rsidRDefault="0045402F" w:rsidP="00744FC6">
      <w:r>
        <w:separator/>
      </w:r>
    </w:p>
  </w:footnote>
  <w:footnote w:type="continuationSeparator" w:id="0">
    <w:p w14:paraId="0FED0CF5" w14:textId="77777777" w:rsidR="0045402F" w:rsidRDefault="0045402F" w:rsidP="0074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F0DD" w14:textId="77777777" w:rsidR="0045402F" w:rsidRPr="00937A4A" w:rsidRDefault="0045402F" w:rsidP="00744FC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7D3427D2" w14:textId="77777777" w:rsidR="0045402F" w:rsidRPr="00937A4A" w:rsidRDefault="0045402F" w:rsidP="00744FC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54E8A5D0" w14:textId="341D5924" w:rsidR="0045402F" w:rsidRPr="00937A4A" w:rsidRDefault="0045402F" w:rsidP="00744FC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>Cabinet –</w:t>
    </w:r>
    <w:r>
      <w:rPr>
        <w:b/>
        <w:lang w:eastAsia="en-US"/>
      </w:rPr>
      <w:t xml:space="preserve"> June 2019</w:t>
    </w:r>
  </w:p>
  <w:p w14:paraId="7C2E0695" w14:textId="2C5D9367" w:rsidR="0045402F" w:rsidRDefault="0045402F" w:rsidP="00744FC6">
    <w:pPr>
      <w:pStyle w:val="Header"/>
      <w:spacing w:before="120"/>
      <w:rPr>
        <w:b/>
        <w:u w:val="single"/>
      </w:rPr>
    </w:pPr>
    <w:r>
      <w:rPr>
        <w:b/>
        <w:u w:val="single"/>
      </w:rPr>
      <w:t>Local Government Waste Management Reforms Consultation Regulatory Impact Statement</w:t>
    </w:r>
  </w:p>
  <w:p w14:paraId="0CBF8329" w14:textId="63435149" w:rsidR="0045402F" w:rsidRDefault="0045402F" w:rsidP="00744FC6">
    <w:pPr>
      <w:pStyle w:val="Header"/>
      <w:spacing w:before="120"/>
      <w:rPr>
        <w:b/>
        <w:u w:val="single"/>
      </w:rPr>
    </w:pPr>
    <w:r>
      <w:rPr>
        <w:b/>
        <w:u w:val="single"/>
      </w:rPr>
      <w:t>Minister for Environment and the Great Barrier Reef, Minister for Science and Minister for the Arts</w:t>
    </w:r>
  </w:p>
  <w:p w14:paraId="2A176748" w14:textId="77777777" w:rsidR="0045402F" w:rsidRDefault="0045402F" w:rsidP="00744FC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72133"/>
    <w:multiLevelType w:val="hybridMultilevel"/>
    <w:tmpl w:val="BE9AC6C6"/>
    <w:lvl w:ilvl="0" w:tplc="18804566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B58E81BC">
      <w:numFmt w:val="bullet"/>
      <w:lvlText w:val=""/>
      <w:lvlJc w:val="left"/>
      <w:pPr>
        <w:ind w:left="1044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07E15DE">
      <w:numFmt w:val="bullet"/>
      <w:lvlText w:val="•"/>
      <w:lvlJc w:val="left"/>
      <w:pPr>
        <w:ind w:left="1994" w:hanging="361"/>
      </w:pPr>
      <w:rPr>
        <w:rFonts w:hint="default"/>
        <w:lang w:val="en-AU" w:eastAsia="en-AU" w:bidi="en-AU"/>
      </w:rPr>
    </w:lvl>
    <w:lvl w:ilvl="3" w:tplc="34F89F0A">
      <w:numFmt w:val="bullet"/>
      <w:lvlText w:val="•"/>
      <w:lvlJc w:val="left"/>
      <w:pPr>
        <w:ind w:left="2948" w:hanging="361"/>
      </w:pPr>
      <w:rPr>
        <w:rFonts w:hint="default"/>
        <w:lang w:val="en-AU" w:eastAsia="en-AU" w:bidi="en-AU"/>
      </w:rPr>
    </w:lvl>
    <w:lvl w:ilvl="4" w:tplc="E688AD3C">
      <w:numFmt w:val="bullet"/>
      <w:lvlText w:val="•"/>
      <w:lvlJc w:val="left"/>
      <w:pPr>
        <w:ind w:left="3902" w:hanging="361"/>
      </w:pPr>
      <w:rPr>
        <w:rFonts w:hint="default"/>
        <w:lang w:val="en-AU" w:eastAsia="en-AU" w:bidi="en-AU"/>
      </w:rPr>
    </w:lvl>
    <w:lvl w:ilvl="5" w:tplc="83865328">
      <w:numFmt w:val="bullet"/>
      <w:lvlText w:val="•"/>
      <w:lvlJc w:val="left"/>
      <w:pPr>
        <w:ind w:left="4856" w:hanging="361"/>
      </w:pPr>
      <w:rPr>
        <w:rFonts w:hint="default"/>
        <w:lang w:val="en-AU" w:eastAsia="en-AU" w:bidi="en-AU"/>
      </w:rPr>
    </w:lvl>
    <w:lvl w:ilvl="6" w:tplc="BF523760">
      <w:numFmt w:val="bullet"/>
      <w:lvlText w:val="•"/>
      <w:lvlJc w:val="left"/>
      <w:pPr>
        <w:ind w:left="5810" w:hanging="361"/>
      </w:pPr>
      <w:rPr>
        <w:rFonts w:hint="default"/>
        <w:lang w:val="en-AU" w:eastAsia="en-AU" w:bidi="en-AU"/>
      </w:rPr>
    </w:lvl>
    <w:lvl w:ilvl="7" w:tplc="BB425140">
      <w:numFmt w:val="bullet"/>
      <w:lvlText w:val="•"/>
      <w:lvlJc w:val="left"/>
      <w:pPr>
        <w:ind w:left="6764" w:hanging="361"/>
      </w:pPr>
      <w:rPr>
        <w:rFonts w:hint="default"/>
        <w:lang w:val="en-AU" w:eastAsia="en-AU" w:bidi="en-AU"/>
      </w:rPr>
    </w:lvl>
    <w:lvl w:ilvl="8" w:tplc="82102C98">
      <w:numFmt w:val="bullet"/>
      <w:lvlText w:val="•"/>
      <w:lvlJc w:val="left"/>
      <w:pPr>
        <w:ind w:left="7718" w:hanging="361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C3"/>
    <w:rsid w:val="00031AE9"/>
    <w:rsid w:val="00055460"/>
    <w:rsid w:val="00060958"/>
    <w:rsid w:val="00074A19"/>
    <w:rsid w:val="00090F3E"/>
    <w:rsid w:val="000B6C46"/>
    <w:rsid w:val="001E0B69"/>
    <w:rsid w:val="002D062A"/>
    <w:rsid w:val="003233EA"/>
    <w:rsid w:val="00325E8B"/>
    <w:rsid w:val="003B77B3"/>
    <w:rsid w:val="003D0A5D"/>
    <w:rsid w:val="0045402F"/>
    <w:rsid w:val="00555681"/>
    <w:rsid w:val="005E52B9"/>
    <w:rsid w:val="00630A33"/>
    <w:rsid w:val="006744EA"/>
    <w:rsid w:val="00711E19"/>
    <w:rsid w:val="00744FC6"/>
    <w:rsid w:val="00770727"/>
    <w:rsid w:val="008005C3"/>
    <w:rsid w:val="008B4B96"/>
    <w:rsid w:val="00985502"/>
    <w:rsid w:val="00A25439"/>
    <w:rsid w:val="00B51723"/>
    <w:rsid w:val="00B774D4"/>
    <w:rsid w:val="00B84910"/>
    <w:rsid w:val="00BE0722"/>
    <w:rsid w:val="00C227E3"/>
    <w:rsid w:val="00CF5429"/>
    <w:rsid w:val="00DD40AE"/>
    <w:rsid w:val="00EB114C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B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324" w:right="373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4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FC6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744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FC6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EA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5556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6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I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68EB3-9B0A-4B7F-B878-EE77DCC60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BA459-09D4-4401-83C0-6CC38FD864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e311de-a790-43ff-be63-577c26c7507c"/>
    <ds:schemaRef ds:uri="http://schemas.microsoft.com/office/2006/documentManagement/types"/>
    <ds:schemaRef ds:uri="http://schemas.microsoft.com/office/2006/metadata/properties"/>
    <ds:schemaRef ds:uri="b8ed82f2-f7bd-423c-8698-5e132afe924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E668F0-7A75-4304-9DBE-5F496F2B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1377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1604</CharactersWithSpaces>
  <SharedDoc>false</SharedDoc>
  <HyperlinkBase>https://www.cabinet.qld.gov.au/documents/2019/Jun/WasteRIS/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15</cp:revision>
  <dcterms:created xsi:type="dcterms:W3CDTF">2019-06-20T01:25:00Z</dcterms:created>
  <dcterms:modified xsi:type="dcterms:W3CDTF">2020-07-27T00:45:00Z</dcterms:modified>
  <cp:category>Legislation,Waste_Management,Local_Government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2019-05-03T00:00:00Z</vt:filetime>
  </property>
  <property fmtid="{D5CDD505-2E9C-101B-9397-08002B2CF9AE}" pid="5" name="ContentTypeId">
    <vt:lpwstr>0x010100DDE14CFDD070B24F85F5DE43654FF01E</vt:lpwstr>
  </property>
</Properties>
</file>